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47" w:rsidRPr="00E64247" w:rsidRDefault="00E64247" w:rsidP="00E64247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  <w:r w:rsidRPr="00E64247">
        <w:rPr>
          <w:rFonts w:ascii="Times New Roman" w:eastAsia="Times New Roman" w:hAnsi="Times New Roman" w:cs="Times New Roman"/>
          <w:b/>
          <w:bCs/>
          <w:noProof/>
          <w:spacing w:val="-13"/>
          <w:sz w:val="28"/>
          <w:szCs w:val="28"/>
          <w:lang w:eastAsia="ru-RU"/>
        </w:rPr>
        <w:drawing>
          <wp:inline distT="0" distB="0" distL="0" distR="0" wp14:anchorId="4D9169AF" wp14:editId="5E9042D4">
            <wp:extent cx="521638" cy="652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3" cy="65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247" w:rsidRPr="00E64247" w:rsidRDefault="00E64247" w:rsidP="00E64247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</w:pPr>
    </w:p>
    <w:p w:rsidR="00E64247" w:rsidRPr="00E64247" w:rsidRDefault="00E64247" w:rsidP="00E64247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АДМИНИСТРАЦИЯ ЧЕРНИГОВСКОГО СЕЛЬСКОГО ПОСЕЛЕНИЯ</w:t>
      </w:r>
    </w:p>
    <w:p w:rsidR="00E64247" w:rsidRPr="00E64247" w:rsidRDefault="00E64247" w:rsidP="00E64247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247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  <w:lang w:eastAsia="ru-RU"/>
        </w:rPr>
        <w:t>БЕЛОРЕЧЕНСКОГО РАЙОНА</w:t>
      </w:r>
    </w:p>
    <w:p w:rsidR="00E64247" w:rsidRPr="00E64247" w:rsidRDefault="00E64247" w:rsidP="00E64247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E64247" w:rsidRPr="00E64247" w:rsidRDefault="00E64247" w:rsidP="00E64247">
      <w:pPr>
        <w:tabs>
          <w:tab w:val="left" w:pos="85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E64247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ПОСТАНОВЛЕНИЕ</w:t>
      </w:r>
    </w:p>
    <w:p w:rsidR="00E64247" w:rsidRPr="00E64247" w:rsidRDefault="00E64247" w:rsidP="00E64247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682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6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8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6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                    №</w:t>
      </w:r>
      <w:r w:rsidR="00CD6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164</w:t>
      </w:r>
    </w:p>
    <w:p w:rsidR="00E64247" w:rsidRPr="00E64247" w:rsidRDefault="00E64247" w:rsidP="00E64247">
      <w:pPr>
        <w:spacing w:after="0" w:line="240" w:lineRule="auto"/>
        <w:ind w:right="18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247" w:rsidRPr="00E64247" w:rsidRDefault="00E64247" w:rsidP="00E64247">
      <w:pPr>
        <w:spacing w:after="0" w:line="240" w:lineRule="auto"/>
        <w:ind w:right="18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п. Молодежный</w:t>
      </w:r>
    </w:p>
    <w:p w:rsidR="00E64247" w:rsidRDefault="00E64247"/>
    <w:p w:rsidR="00E64247" w:rsidRPr="00E64247" w:rsidRDefault="00E64247" w:rsidP="00E642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6424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выявления, учета и принятия решений о передаче в эксплуатацию бесхозяйных объектов теплоснабжения на территории </w:t>
      </w:r>
      <w:r w:rsidRPr="00E64247">
        <w:rPr>
          <w:rFonts w:ascii="Times New Roman" w:hAnsi="Times New Roman" w:cs="Times New Roman"/>
          <w:b/>
          <w:sz w:val="28"/>
          <w:szCs w:val="28"/>
        </w:rPr>
        <w:t>Черниговского сельского поселения Белореченского района</w:t>
      </w:r>
      <w:bookmarkEnd w:id="0"/>
    </w:p>
    <w:p w:rsidR="00E64247" w:rsidRDefault="00E64247"/>
    <w:p w:rsidR="00E64247" w:rsidRDefault="00E64247" w:rsidP="00E64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постановляю: </w:t>
      </w:r>
    </w:p>
    <w:p w:rsidR="00E64247" w:rsidRDefault="00E64247" w:rsidP="00E642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Утвердить Порядок выявления, учета и принятия решений о передаче в эксплуатацию бесхозяйных объектов т</w:t>
      </w:r>
      <w:r>
        <w:rPr>
          <w:rFonts w:ascii="Times New Roman" w:hAnsi="Times New Roman" w:cs="Times New Roman"/>
          <w:sz w:val="28"/>
          <w:szCs w:val="28"/>
        </w:rPr>
        <w:t>еплоснабжения на территории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, согласно Приложению. </w:t>
      </w:r>
    </w:p>
    <w:p w:rsidR="00E64247" w:rsidRDefault="00E64247" w:rsidP="00E642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Общему отделу администрации </w:t>
      </w: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его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Черниговского сельского поселения Белореченского района </w:t>
      </w:r>
      <w:r w:rsidRPr="00E64247">
        <w:rPr>
          <w:rFonts w:ascii="Times New Roman" w:hAnsi="Times New Roman" w:cs="Times New Roman"/>
          <w:sz w:val="28"/>
          <w:szCs w:val="28"/>
        </w:rPr>
        <w:t>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247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«Интернет». </w:t>
      </w:r>
    </w:p>
    <w:p w:rsidR="00E64247" w:rsidRDefault="00E64247" w:rsidP="00E6424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Контроль исполнения настоящего поста</w:t>
      </w:r>
      <w:r>
        <w:rPr>
          <w:rFonts w:ascii="Times New Roman" w:hAnsi="Times New Roman" w:cs="Times New Roman"/>
          <w:sz w:val="28"/>
          <w:szCs w:val="28"/>
        </w:rPr>
        <w:t xml:space="preserve">новления возложить на заместителя главы администрации Черниговского сельского поселения Белореченского района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Панеш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64247" w:rsidRDefault="00E64247" w:rsidP="00E6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Черниговского сельского поселения</w:t>
      </w:r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  О.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Кероджан</w:t>
      </w:r>
      <w:proofErr w:type="spellEnd"/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64247" w:rsidRDefault="00E64247" w:rsidP="00E64247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E64247" w:rsidRDefault="00E64247" w:rsidP="00E64247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Черниговского </w:t>
      </w:r>
    </w:p>
    <w:p w:rsidR="00E64247" w:rsidRDefault="00E64247" w:rsidP="00E64247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64247" w:rsidRDefault="00E64247" w:rsidP="00E64247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E64247" w:rsidRDefault="00E64247" w:rsidP="00E64247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от </w:t>
      </w:r>
      <w:r w:rsidR="00CD6829">
        <w:rPr>
          <w:rFonts w:ascii="Times New Roman" w:hAnsi="Times New Roman" w:cs="Times New Roman"/>
          <w:sz w:val="28"/>
          <w:szCs w:val="28"/>
        </w:rPr>
        <w:t>22 декабря 2023 г. № 164</w:t>
      </w:r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Pr="00E64247" w:rsidRDefault="00E64247" w:rsidP="00E64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47">
        <w:rPr>
          <w:rFonts w:ascii="Times New Roman" w:hAnsi="Times New Roman" w:cs="Times New Roman"/>
          <w:b/>
          <w:sz w:val="28"/>
          <w:szCs w:val="28"/>
        </w:rPr>
        <w:t xml:space="preserve">Порядок выявления, учета и принятия решений о передаче в эксплуатацию бесхозяйных объектов теплоснабжения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Черниговского сельского поселения Белореченского района</w:t>
      </w:r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E64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247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1. Настоящий Порядок выявления, учета и принятия решений о передаче в эксплуатацию бесхозяйных объектов теплоснабжения (далее – Порядок) разработан в соответствии с Гражданским кодексом Российской Федерации, Земельным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13.07.2015 № 218-ФЗ «О государственной регистрации недвижимости», Федеральным законом от 27.07.2010 № 190- ФЗ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4247">
        <w:rPr>
          <w:rFonts w:ascii="Times New Roman" w:hAnsi="Times New Roman" w:cs="Times New Roman"/>
          <w:sz w:val="28"/>
          <w:szCs w:val="28"/>
        </w:rPr>
        <w:t xml:space="preserve">теплоснабжении», Приказом Минэкономразвития России от 10.12.2015 №931 «Об установлении Порядка принятия на учет бесхозяйных недвижимых вещей» и устанавливает выявление, учет и принятие решений о передаче в эксплуатацию бесхозяйных объектов теплоснабжения. </w:t>
      </w:r>
    </w:p>
    <w:p w:rsidR="007F0A28" w:rsidRDefault="007F0A28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Черниговского сельского поселения Белореченского района</w:t>
      </w:r>
      <w:r w:rsidR="00E64247" w:rsidRPr="00E64247">
        <w:rPr>
          <w:rFonts w:ascii="Times New Roman" w:hAnsi="Times New Roman" w:cs="Times New Roman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="00E64247" w:rsidRPr="00E64247">
        <w:rPr>
          <w:rFonts w:ascii="Times New Roman" w:hAnsi="Times New Roman" w:cs="Times New Roman"/>
          <w:sz w:val="28"/>
          <w:szCs w:val="28"/>
        </w:rPr>
        <w:t xml:space="preserve"> самостоятельно осуществляет действия по выявлению бесхозяйных объектов теплоснабжения (далее – объекты). Учет объектов ведет </w:t>
      </w:r>
      <w:r>
        <w:rPr>
          <w:rFonts w:ascii="Times New Roman" w:hAnsi="Times New Roman" w:cs="Times New Roman"/>
          <w:sz w:val="28"/>
          <w:szCs w:val="28"/>
        </w:rPr>
        <w:t>специалист финансового отдела администрации.</w:t>
      </w:r>
      <w:r w:rsidR="00E64247" w:rsidRPr="00E64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0A28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3. Сведения об объектах могут поступать: - от органов государственной власти Российской Федерации, Краснодарского края; - субъектов Российской Федерации; - органов местного самоуправления; - в результате проведения инвентаризации; - при проведении ремонтных работ на объектах инженерной инфраструктуры поселения; - на основании заявлений юридических и физических лиц; - иными способами. </w:t>
      </w:r>
    </w:p>
    <w:p w:rsidR="007F0A28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4.</w:t>
      </w:r>
      <w:r w:rsidR="007F0A28">
        <w:rPr>
          <w:rFonts w:ascii="Times New Roman" w:hAnsi="Times New Roman" w:cs="Times New Roman"/>
          <w:sz w:val="28"/>
          <w:szCs w:val="28"/>
        </w:rPr>
        <w:t xml:space="preserve"> </w:t>
      </w:r>
      <w:r w:rsidRPr="00E64247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власти, органы местного самоуправления, граждане, юридические лица и иные лица направляют в Управление заявления о выявленных объектах. В заявлениях о выявленных объектах указываются известные заявителю данные о характеристиках (параметрах) объекта, его местоположение, данные о периоде времени, с которого пользование не осуществляется, иные данные, характеризующие объект, его состояние; данные об имени, отчестве (при наличии), фамилии (наименовании), почтовом адресе (месте нахождения юридического лица), дату, подпись. К заявлению могут прилагаться фотоматериалы, акты осмотра, иные документы, подтверждающие обстоятельства, изложенные в заявлении. </w:t>
      </w:r>
    </w:p>
    <w:p w:rsidR="007F0A28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lastRenderedPageBreak/>
        <w:t xml:space="preserve">5. По поступившему заявлению и иной информации о выявленных объектах Управление проверяет достоверность сведений и составляет акт выявления бесхозяйного объекта теплоснабжения по форме согласно Приложению № 1 к настоящему Порядку (далее – акт). Датой выявления объекта считается дата составления акта. </w:t>
      </w:r>
    </w:p>
    <w:p w:rsidR="0067626B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6. В течение 60 дней с даты выявления объекта </w:t>
      </w:r>
      <w:r w:rsidR="0067626B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="00D20333">
        <w:rPr>
          <w:rFonts w:ascii="Times New Roman" w:hAnsi="Times New Roman" w:cs="Times New Roman"/>
          <w:sz w:val="28"/>
          <w:szCs w:val="28"/>
        </w:rPr>
        <w:t xml:space="preserve"> </w:t>
      </w:r>
      <w:r w:rsidR="007F0A28">
        <w:rPr>
          <w:rFonts w:ascii="Times New Roman" w:hAnsi="Times New Roman" w:cs="Times New Roman"/>
          <w:sz w:val="28"/>
          <w:szCs w:val="28"/>
        </w:rPr>
        <w:t xml:space="preserve">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обеспечивает проведение проверки соответствия объекта требованиям промышленной безопасности, экологической безопасности, пожарной безопасности, требованиям безопасности в сфере теплоснабжения, требованиям к обеспечению безопасности в сфере электроэнергетики (далее - требования безопасности), проверки наличия документов, необходимых для безопасной эксплуатации объекта теплоснабжения. После проведения проверок, перед</w:t>
      </w:r>
      <w:r w:rsidR="0067626B">
        <w:rPr>
          <w:rFonts w:ascii="Times New Roman" w:hAnsi="Times New Roman" w:cs="Times New Roman"/>
          <w:sz w:val="28"/>
          <w:szCs w:val="28"/>
        </w:rPr>
        <w:t>ает перечень документов в администрацию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. </w:t>
      </w:r>
      <w:r w:rsidR="00D20333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обращается в орган, осуществляющий государственную регистрацию права на недвижимое имущество (далее – </w:t>
      </w:r>
      <w:proofErr w:type="spellStart"/>
      <w:r w:rsidRPr="00E6424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64247">
        <w:rPr>
          <w:rFonts w:ascii="Times New Roman" w:hAnsi="Times New Roman" w:cs="Times New Roman"/>
          <w:sz w:val="28"/>
          <w:szCs w:val="28"/>
        </w:rPr>
        <w:t xml:space="preserve">), для принятия на учет объекта как бесхозяйного, а также обеспечивает выполнение кадастровых работ в отношении такого объекта. </w:t>
      </w:r>
    </w:p>
    <w:p w:rsidR="0067626B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7. Для подтверждения информации о бесхозяйных объектах </w:t>
      </w:r>
      <w:r w:rsidR="0067626B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направляет запросы: - в ФНС об уплате налога на имущество, о наличии в ЕГРЮЛ, ЕГРИП сведений о лице, являющимся возможным собственником либо владельцем этого имущества; - в </w:t>
      </w:r>
      <w:proofErr w:type="spellStart"/>
      <w:r w:rsidRPr="00E64247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E64247">
        <w:rPr>
          <w:rFonts w:ascii="Times New Roman" w:hAnsi="Times New Roman" w:cs="Times New Roman"/>
          <w:sz w:val="28"/>
          <w:szCs w:val="28"/>
        </w:rPr>
        <w:t xml:space="preserve">; - в органы учета государственного и муниципального имущества, осуществляющие ведение реестров федерального имущества, государственного имущества субъектов Российской Федерации и муниципального имущества; - в органы (организации), осуществлявшие регистрацию прав на недвижимое имущество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ним; - в специализированные муниципальные предприятия, предприятия иной формы собственности; - при необходимости в органы, осуществляющие ведение государственного кадастра недвижимости, в органы записи актов гражданского состояния о наличии актовой записи о смерти последнего собственника, в иные учреждения, организации, предприятия. - размещает в средства массовой информации, на официальном сайте администрации в информационно-телекоммуникационной сети «Интернет» объявление о необходимости явки лица, считающего себя собственником или имеющего на объект права с указанием срока явки, с предупреждением о том, что в случае неявки вызываемого лица указанный объект будет по заявлению </w:t>
      </w:r>
      <w:r w:rsidR="0067626B">
        <w:rPr>
          <w:rFonts w:ascii="Times New Roman" w:hAnsi="Times New Roman" w:cs="Times New Roman"/>
          <w:sz w:val="28"/>
          <w:szCs w:val="28"/>
        </w:rPr>
        <w:t>администрации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поставлен на учет в </w:t>
      </w:r>
      <w:proofErr w:type="spellStart"/>
      <w:r w:rsidRPr="00E6424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E64247">
        <w:rPr>
          <w:rFonts w:ascii="Times New Roman" w:hAnsi="Times New Roman" w:cs="Times New Roman"/>
          <w:sz w:val="28"/>
          <w:szCs w:val="28"/>
        </w:rPr>
        <w:t xml:space="preserve">, в качестве бесхозяйной вещи и занесен в </w:t>
      </w:r>
      <w:r w:rsidRPr="00E64247">
        <w:rPr>
          <w:rFonts w:ascii="Times New Roman" w:hAnsi="Times New Roman" w:cs="Times New Roman"/>
          <w:sz w:val="28"/>
          <w:szCs w:val="28"/>
        </w:rPr>
        <w:lastRenderedPageBreak/>
        <w:t xml:space="preserve">Единый реестр бесхозяйного имущества муниципального образования после истечения указанного в объявлении срока (Приложение №2 к настоящему Порядку). </w:t>
      </w:r>
    </w:p>
    <w:p w:rsidR="0067626B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8. В случае получения достоверной информации о наличии собственника объекта </w:t>
      </w:r>
      <w:r w:rsidR="0067626B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прекращает работу по сбору документов для постановки на учет объекта в качестве бесхозяйного и сообщает данную информацию лицу, представившему первичную информацию об этом объекте в письменном виде. </w:t>
      </w:r>
    </w:p>
    <w:p w:rsidR="00DE42F5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9. При отсутствии собственника, после выполнения мероприятий, указанных в настоящем Порядке, </w:t>
      </w:r>
      <w:r w:rsidR="00DE42F5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обращается с заявлением о постановке на учет бесхозяйных недвижимых вещей в порядке, установленном Приказом Минэкономразвития России от 10.12.2015 № 931 «Об установлении Порядка принятия на учет бесхозяйных недвижимых вещей». </w:t>
      </w:r>
    </w:p>
    <w:p w:rsidR="00DE42F5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10. До даты регистрации права собственности на объект </w:t>
      </w:r>
      <w:r w:rsidR="00DE42F5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организует содержание и обслуживание такого объекта. </w:t>
      </w:r>
    </w:p>
    <w:p w:rsidR="00DE42F5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11. При несоответствии объекта требованиям безопасности и (или) при отсутствии документов, необходимых для безопасной эксплуатации объекта, Управление организует приведение объекта в соответствие с требованиями безопасности и (или) подготовку и утверждение документов, необходимых для безопасной эксплуатации объекта, в том числе с привлечением на возмездной основе третьих лиц. </w:t>
      </w:r>
    </w:p>
    <w:p w:rsidR="00DE42F5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12. До определения организации, которая будет осуществлять содержание и обслуживание объекта, </w:t>
      </w:r>
      <w:r w:rsidR="00DE42F5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уведомляет орган государственного энергетического надзора о выявлении такого объекта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теплоснабжения. </w:t>
      </w:r>
    </w:p>
    <w:p w:rsidR="003247CF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13. В течение 30 дней с даты принятия органом регистрации прав на учет объекта в качестве бесхозяйного, но не ранее приведения его в соответствие с требованиями безопасности, подготовки и утверждения документов, необходимых для безопасной эксплуатации объекта теплоснабжения, и до даты регистрации права собственности на бесхозяйный объект теплоснабжения </w:t>
      </w:r>
      <w:r w:rsidR="003247CF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spellStart"/>
      <w:r w:rsidRPr="00E64247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E64247">
        <w:rPr>
          <w:rFonts w:ascii="Times New Roman" w:hAnsi="Times New Roman" w:cs="Times New Roman"/>
          <w:sz w:val="28"/>
          <w:szCs w:val="28"/>
        </w:rPr>
        <w:t xml:space="preserve"> организацию, тепловые сети которой непосредственно соединены с тепловой сетью, являющейся бесхозяйным</w:t>
      </w:r>
      <w:r w:rsidR="003247CF">
        <w:rPr>
          <w:rFonts w:ascii="Times New Roman" w:hAnsi="Times New Roman" w:cs="Times New Roman"/>
          <w:sz w:val="28"/>
          <w:szCs w:val="28"/>
        </w:rPr>
        <w:t xml:space="preserve"> </w:t>
      </w:r>
      <w:r w:rsidRPr="00E64247">
        <w:rPr>
          <w:rFonts w:ascii="Times New Roman" w:hAnsi="Times New Roman" w:cs="Times New Roman"/>
          <w:sz w:val="28"/>
          <w:szCs w:val="28"/>
        </w:rPr>
        <w:t xml:space="preserve">объектом теплоснабжения, либо единую теплоснабжающую организацию в системе теплоснабжения, в которую входят тепловая сеть и (или) источник тепловой энергии, являющиеся бесхозяйными объектами теплоснабжения, и которая будет осуществлять содержание и обслуживание указанных объектов (далее - организация по содержанию и обслуживанию), если органом государственного энергетического надзора выдано разрешение на допуск в эксплуатацию указанных объектов теплоснабжения. Датой </w:t>
      </w:r>
      <w:r w:rsidRPr="00E64247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определения организации по содержанию и обслуживанию считается дата вступления в силу постановления администрации </w:t>
      </w:r>
      <w:r w:rsidR="003247CF">
        <w:rPr>
          <w:rFonts w:ascii="Times New Roman" w:hAnsi="Times New Roman" w:cs="Times New Roman"/>
          <w:sz w:val="28"/>
          <w:szCs w:val="28"/>
        </w:rPr>
        <w:t>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 определении организации по содержанию и обслуживанию. Объект, в отношении которого принято решение об определении организации по содержанию и обслуживанию, включается </w:t>
      </w:r>
      <w:r w:rsidR="003247CF">
        <w:rPr>
          <w:rFonts w:ascii="Times New Roman" w:hAnsi="Times New Roman" w:cs="Times New Roman"/>
          <w:sz w:val="28"/>
          <w:szCs w:val="28"/>
        </w:rPr>
        <w:t>администрацией</w:t>
      </w:r>
      <w:r w:rsidRPr="00E64247">
        <w:rPr>
          <w:rFonts w:ascii="Times New Roman" w:hAnsi="Times New Roman" w:cs="Times New Roman"/>
          <w:sz w:val="28"/>
          <w:szCs w:val="28"/>
        </w:rPr>
        <w:t xml:space="preserve"> в утвержденную схему теплоснабжения. </w:t>
      </w:r>
    </w:p>
    <w:p w:rsidR="003247CF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14. С даты выявления объекта и до определения организации по содержанию и обслуживанию </w:t>
      </w:r>
      <w:r w:rsidR="003247CF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отвечает за соблюдение требований безопасности при техническом обслуживании объекта. После определения организации по содержанию и обслуживанию за соблюдение требований безопасности при техническом обслуживании объекта отвечает такая организация. </w:t>
      </w:r>
    </w:p>
    <w:p w:rsidR="003247CF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15. Бесхозяйный объект теплоснабжения учитывается в Реестре выявленного бесхозяйного недвижимого имущества (далее – Реестр) с даты постановки объекта в качестве бесхозяйного </w:t>
      </w:r>
      <w:proofErr w:type="spellStart"/>
      <w:r w:rsidRPr="00E64247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E64247">
        <w:rPr>
          <w:rFonts w:ascii="Times New Roman" w:hAnsi="Times New Roman" w:cs="Times New Roman"/>
          <w:sz w:val="28"/>
          <w:szCs w:val="28"/>
        </w:rPr>
        <w:t>, по форме согласно Приложению № 2 к настоящему Поря</w:t>
      </w:r>
      <w:r w:rsidR="003247CF">
        <w:rPr>
          <w:rFonts w:ascii="Times New Roman" w:hAnsi="Times New Roman" w:cs="Times New Roman"/>
          <w:sz w:val="28"/>
          <w:szCs w:val="28"/>
        </w:rPr>
        <w:t>дку. Реестр ведется администрацией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7CF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16. Если до принятия объекта в муниципальную собственность </w:t>
      </w:r>
      <w:r w:rsidR="003247CF">
        <w:rPr>
          <w:rFonts w:ascii="Times New Roman" w:hAnsi="Times New Roman" w:cs="Times New Roman"/>
          <w:sz w:val="28"/>
          <w:szCs w:val="28"/>
        </w:rPr>
        <w:t>администрации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объявится его собственник, то доказывание права собственности на него лежит на этом собственнике. В случае, если собственник докажет право собственности на объект н</w:t>
      </w:r>
      <w:r w:rsidR="003247CF">
        <w:rPr>
          <w:rFonts w:ascii="Times New Roman" w:hAnsi="Times New Roman" w:cs="Times New Roman"/>
          <w:sz w:val="28"/>
          <w:szCs w:val="28"/>
        </w:rPr>
        <w:t>едвижимого имущества, 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: - направляет собственнику письменное обращение с предложением принятия мер по содержанию данного объекта в надлежащем состоянии в соответствии с действующими нормами и правилами. - исключает объект из Реестра. В случае, если собственник докажет свое право собственности на объект недвижимого имущества, </w:t>
      </w:r>
      <w:r w:rsidR="003247CF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вправе требовать от собственника возмещения затрат, понесенных на ремонт, содержание данного объекта, на изготовление технической документации и иных затрат. </w:t>
      </w:r>
    </w:p>
    <w:p w:rsidR="003247CF" w:rsidRDefault="00E64247" w:rsidP="007F0A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17. По истечении года со дня постановки объекта в качестве бесхозяйного на учет, а в случае постановки на учет линейного объекта по истечении трех месяцев со дня постановки на учет, </w:t>
      </w:r>
      <w:r w:rsidR="003247CF">
        <w:rPr>
          <w:rFonts w:ascii="Times New Roman" w:hAnsi="Times New Roman" w:cs="Times New Roman"/>
          <w:sz w:val="28"/>
          <w:szCs w:val="28"/>
        </w:rPr>
        <w:t>администрация Черниговского сельского по 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обращается в суд с заявлением о признании права муниципальной собственности </w:t>
      </w:r>
      <w:r w:rsidR="003247CF">
        <w:rPr>
          <w:rFonts w:ascii="Times New Roman" w:hAnsi="Times New Roman" w:cs="Times New Roman"/>
          <w:sz w:val="28"/>
          <w:szCs w:val="28"/>
        </w:rPr>
        <w:t>администрации Черниговского сель кого поселения Белореченского района</w:t>
      </w:r>
      <w:r w:rsidRPr="00E64247">
        <w:rPr>
          <w:rFonts w:ascii="Times New Roman" w:hAnsi="Times New Roman" w:cs="Times New Roman"/>
          <w:sz w:val="28"/>
          <w:szCs w:val="28"/>
        </w:rPr>
        <w:t xml:space="preserve"> на этот объект в порядке, предусмотренном законодательством. Право муниципальной собственности на бесхозяйный объект, установленное решением суда, подлежит государственной регистрации в </w:t>
      </w:r>
      <w:proofErr w:type="spellStart"/>
      <w:r w:rsidRPr="00E64247"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 w:rsidRPr="00E642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47CF" w:rsidRDefault="003247CF" w:rsidP="0032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7CF" w:rsidRDefault="003247CF" w:rsidP="0032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2 категории общего отдела</w:t>
      </w:r>
    </w:p>
    <w:p w:rsidR="003247CF" w:rsidRDefault="003247CF" w:rsidP="0032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Черниговского сельского поселения</w:t>
      </w:r>
    </w:p>
    <w:p w:rsidR="003247CF" w:rsidRDefault="003247CF" w:rsidP="003247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Белореченского района                                                                 И.В. Панферова </w:t>
      </w:r>
    </w:p>
    <w:p w:rsidR="003247CF" w:rsidRDefault="00E64247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B64E7A" w:rsidRDefault="00E64247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к Порядку выявления, учета и</w:t>
      </w:r>
    </w:p>
    <w:p w:rsidR="00B64E7A" w:rsidRDefault="00E64247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принятия решений о передаче</w:t>
      </w:r>
    </w:p>
    <w:p w:rsidR="00B64E7A" w:rsidRDefault="00E64247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в эксплуатацию бесхозяйных</w:t>
      </w:r>
    </w:p>
    <w:p w:rsidR="00B64E7A" w:rsidRDefault="00E64247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объектов теплоснабжения на</w:t>
      </w:r>
    </w:p>
    <w:p w:rsidR="00B64E7A" w:rsidRDefault="00E64247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64E7A">
        <w:rPr>
          <w:rFonts w:ascii="Times New Roman" w:hAnsi="Times New Roman" w:cs="Times New Roman"/>
          <w:sz w:val="28"/>
          <w:szCs w:val="28"/>
        </w:rPr>
        <w:t>Черниговского</w:t>
      </w:r>
    </w:p>
    <w:p w:rsidR="00B64E7A" w:rsidRDefault="00B64E7A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64E7A" w:rsidRDefault="00B64E7A" w:rsidP="003247CF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Белореченского района</w:t>
      </w:r>
    </w:p>
    <w:p w:rsidR="00B64E7A" w:rsidRDefault="00B64E7A" w:rsidP="00CD6829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7A" w:rsidRDefault="00E64247" w:rsidP="00B6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Акт выявления бесхозяйного объекта теплоснабжения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="00B64E7A">
        <w:rPr>
          <w:rFonts w:ascii="Times New Roman" w:hAnsi="Times New Roman" w:cs="Times New Roman"/>
          <w:sz w:val="28"/>
          <w:szCs w:val="28"/>
        </w:rPr>
        <w:t>г.</w:t>
      </w:r>
      <w:r w:rsidRPr="00E642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(дата, время) </w:t>
      </w: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Настоящий акт составлен _______________________________________ _______________________________</w:t>
      </w:r>
      <w:r w:rsidR="00B64E7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B64E7A" w:rsidRDefault="00E64247" w:rsidP="00B6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(ФИО, должность)</w:t>
      </w: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с участием _____________________________________________________ _________________________________________________________________ _ (ФИО, должность лиц, участвующих в осмотре; специалистов, привлеченных к осмотру) </w:t>
      </w: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Объект осмотра: ___________________________________________________ _________________________________________________________________ _ (наименование и адресные ориентиры объекта) При осмотре установлено, что объект теплоснабжения является// не является (ненужное зачеркнуть) бесхозяйным, а также ____________________________ _________________________________________________________________ _ _________________________________________________________________ _______________________________________</w:t>
      </w:r>
      <w:r w:rsidR="00B64E7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6424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4E7A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6424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64E7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64247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 (описание собранных данных на объекте и описание состояния объекта) </w:t>
      </w: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Приложения к акту:</w:t>
      </w:r>
    </w:p>
    <w:p w:rsidR="00B64E7A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 _______________________________________</w:t>
      </w:r>
      <w:r w:rsidR="00B64E7A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6424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B64E7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829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Подписи лиц, участвующих в осмотре: </w:t>
      </w:r>
    </w:p>
    <w:p w:rsidR="00CD6829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_________________ __________________ </w:t>
      </w:r>
    </w:p>
    <w:p w:rsidR="00CD6829" w:rsidRDefault="00CD6829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64247" w:rsidRPr="00E64247">
        <w:rPr>
          <w:rFonts w:ascii="Times New Roman" w:hAnsi="Times New Roman" w:cs="Times New Roman"/>
          <w:sz w:val="28"/>
          <w:szCs w:val="28"/>
        </w:rPr>
        <w:t xml:space="preserve">(подпись) (расшифровка) </w:t>
      </w:r>
    </w:p>
    <w:p w:rsidR="00CD6829" w:rsidRDefault="00E64247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_________________ __________________ </w:t>
      </w:r>
    </w:p>
    <w:p w:rsidR="00B64E7A" w:rsidRDefault="00CD6829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(подпись) (расшифровка) </w:t>
      </w:r>
    </w:p>
    <w:p w:rsidR="00CD6829" w:rsidRDefault="00CD6829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B64E7A" w:rsidRDefault="00E64247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</w:t>
      </w:r>
    </w:p>
    <w:p w:rsidR="00B64E7A" w:rsidRDefault="00E64247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к Порядку выявления, учета и </w:t>
      </w:r>
    </w:p>
    <w:p w:rsidR="00B64E7A" w:rsidRDefault="00E64247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>принятия решений о передаче в</w:t>
      </w:r>
    </w:p>
    <w:p w:rsidR="00B64E7A" w:rsidRDefault="00E64247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эксплуатацию бесхозяйных</w:t>
      </w:r>
    </w:p>
    <w:p w:rsidR="00B64E7A" w:rsidRDefault="00E64247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объектов теплоснабжения на</w:t>
      </w:r>
    </w:p>
    <w:p w:rsidR="00B64E7A" w:rsidRDefault="00E64247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E64247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64E7A">
        <w:rPr>
          <w:rFonts w:ascii="Times New Roman" w:hAnsi="Times New Roman" w:cs="Times New Roman"/>
          <w:sz w:val="28"/>
          <w:szCs w:val="28"/>
        </w:rPr>
        <w:t>Черниговского</w:t>
      </w:r>
    </w:p>
    <w:p w:rsidR="00B64E7A" w:rsidRDefault="00B64E7A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64E7A" w:rsidRDefault="00B64E7A" w:rsidP="00B64E7A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</w:t>
      </w: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E7A" w:rsidRDefault="00B64E7A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E7A" w:rsidRPr="00B64E7A" w:rsidRDefault="00E64247" w:rsidP="00B6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A"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</w:p>
    <w:p w:rsidR="00B64E7A" w:rsidRDefault="00E64247" w:rsidP="00B6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E7A">
        <w:rPr>
          <w:rFonts w:ascii="Times New Roman" w:hAnsi="Times New Roman" w:cs="Times New Roman"/>
          <w:b/>
          <w:sz w:val="28"/>
          <w:szCs w:val="28"/>
        </w:rPr>
        <w:t>объектов бесхозяйного недвижимого имущества</w:t>
      </w: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1"/>
        <w:gridCol w:w="1490"/>
        <w:gridCol w:w="1267"/>
        <w:gridCol w:w="1570"/>
        <w:gridCol w:w="1451"/>
        <w:gridCol w:w="1567"/>
        <w:gridCol w:w="1509"/>
      </w:tblGrid>
      <w:tr w:rsidR="00CD6829" w:rsidRPr="00B64E7A" w:rsidTr="00CD6829">
        <w:tc>
          <w:tcPr>
            <w:tcW w:w="553" w:type="dxa"/>
          </w:tcPr>
          <w:p w:rsidR="00B64E7A" w:rsidRPr="00CD6829" w:rsidRDefault="00B64E7A" w:rsidP="00B64E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15" w:type="dxa"/>
          </w:tcPr>
          <w:p w:rsidR="00B64E7A" w:rsidRPr="00CD6829" w:rsidRDefault="00B64E7A" w:rsidP="00B6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453" w:type="dxa"/>
          </w:tcPr>
          <w:p w:rsidR="00B64E7A" w:rsidRPr="00CD6829" w:rsidRDefault="00B64E7A" w:rsidP="00B64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1809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объекта</w:t>
            </w:r>
          </w:p>
        </w:tc>
        <w:tc>
          <w:tcPr>
            <w:tcW w:w="1695" w:type="dxa"/>
          </w:tcPr>
          <w:p w:rsid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 xml:space="preserve">Номер, </w:t>
            </w:r>
          </w:p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дата и наименование акта</w:t>
            </w:r>
          </w:p>
        </w:tc>
        <w:tc>
          <w:tcPr>
            <w:tcW w:w="1252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 постановления администрации об определении организации по содержанию и обслуживанию объекта</w:t>
            </w:r>
          </w:p>
        </w:tc>
        <w:tc>
          <w:tcPr>
            <w:tcW w:w="868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постановления на учет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Росреестре</w:t>
            </w:r>
            <w:proofErr w:type="spellEnd"/>
          </w:p>
        </w:tc>
      </w:tr>
      <w:tr w:rsidR="00CD6829" w:rsidRPr="00B64E7A" w:rsidTr="00CD6829">
        <w:tc>
          <w:tcPr>
            <w:tcW w:w="553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5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</w:tcPr>
          <w:p w:rsidR="00B64E7A" w:rsidRPr="00CD6829" w:rsidRDefault="00CD6829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6829" w:rsidRPr="00B64E7A" w:rsidTr="00CD6829">
        <w:tc>
          <w:tcPr>
            <w:tcW w:w="553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B64E7A" w:rsidRPr="00CD6829" w:rsidRDefault="00B64E7A" w:rsidP="00CD6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829" w:rsidRPr="00B64E7A" w:rsidTr="00CD6829">
        <w:tc>
          <w:tcPr>
            <w:tcW w:w="553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829" w:rsidRPr="00B64E7A" w:rsidTr="00CD6829">
        <w:tc>
          <w:tcPr>
            <w:tcW w:w="553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829" w:rsidRPr="00B64E7A" w:rsidTr="00CD6829">
        <w:tc>
          <w:tcPr>
            <w:tcW w:w="553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2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B64E7A" w:rsidRPr="00B64E7A" w:rsidRDefault="00B64E7A" w:rsidP="00B64E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E7A" w:rsidRPr="00B64E7A" w:rsidRDefault="00B64E7A" w:rsidP="00B64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E7A" w:rsidRDefault="00B64E7A" w:rsidP="00B64E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E7A" w:rsidRDefault="00B64E7A" w:rsidP="00CD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829" w:rsidRDefault="00CD6829" w:rsidP="00CD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2 категории общего отела </w:t>
      </w:r>
    </w:p>
    <w:p w:rsidR="00CD6829" w:rsidRDefault="00CD6829" w:rsidP="00CD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Черниговского сельского поселения </w:t>
      </w:r>
    </w:p>
    <w:p w:rsidR="00CD6829" w:rsidRDefault="00CD6829" w:rsidP="00CD6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Белореченского района                                                                  И.В. Панферова</w:t>
      </w:r>
    </w:p>
    <w:sectPr w:rsidR="00CD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B3BAD"/>
    <w:multiLevelType w:val="hybridMultilevel"/>
    <w:tmpl w:val="6D62D718"/>
    <w:lvl w:ilvl="0" w:tplc="17A0D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47"/>
    <w:rsid w:val="003247CF"/>
    <w:rsid w:val="004B7E82"/>
    <w:rsid w:val="0067626B"/>
    <w:rsid w:val="007F0A28"/>
    <w:rsid w:val="00B64E7A"/>
    <w:rsid w:val="00CA6713"/>
    <w:rsid w:val="00CD6829"/>
    <w:rsid w:val="00D20333"/>
    <w:rsid w:val="00DE42F5"/>
    <w:rsid w:val="00E6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828DB"/>
  <w15:chartTrackingRefBased/>
  <w15:docId w15:val="{38DAA87C-DFDD-42C1-A23D-8C0F36DF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247"/>
    <w:pPr>
      <w:ind w:left="720"/>
      <w:contextualSpacing/>
    </w:pPr>
  </w:style>
  <w:style w:type="table" w:styleId="a4">
    <w:name w:val="Table Grid"/>
    <w:basedOn w:val="a1"/>
    <w:uiPriority w:val="39"/>
    <w:rsid w:val="00B6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2023-12-22T08:30:00Z</cp:lastPrinted>
  <dcterms:created xsi:type="dcterms:W3CDTF">2023-12-22T07:02:00Z</dcterms:created>
  <dcterms:modified xsi:type="dcterms:W3CDTF">2023-12-22T08:31:00Z</dcterms:modified>
</cp:coreProperties>
</file>